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794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32"/>
          <w:szCs w:val="32"/>
          <w:highlight w:val="none"/>
        </w:rPr>
        <w:t xml:space="preserve">ПРАВИТЕЛЬСТВО 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center"/>
        <w:spacing w:before="204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/>
          <w:bCs/>
          <w:spacing w:val="45"/>
          <w:sz w:val="36"/>
          <w:szCs w:val="36"/>
          <w:highlight w:val="none"/>
        </w:rPr>
        <w:t xml:space="preserve">ПОСТАНОВЛЕНИЕ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left"/>
        <w:spacing w:before="431" w:beforeAutospacing="0" w:after="0" w:afterAutospacing="0" w:line="240" w:lineRule="auto"/>
        <w:tabs>
          <w:tab w:val="left" w:pos="850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0"/>
          <w:szCs w:val="20"/>
          <w:highlight w:val="none"/>
        </w:rPr>
        <w:tab/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_____________________</w:t>
        <w:tab/>
        <w:t xml:space="preserve">№ 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227" w:beforeAutospacing="0" w:after="0" w:afterAutospacing="0" w:line="240" w:lineRule="auto"/>
        <w:tabs>
          <w:tab w:val="left" w:pos="850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г. Биробиджан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left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32"/>
        </w:rPr>
        <w:t xml:space="preserve">⌐</w:t>
      </w:r>
      <w:r>
        <w:rPr>
          <w:rFonts w:ascii="Times New Roman" w:hAnsi="Times New Roman" w:cs="Times New Roman"/>
          <w:sz w:val="28"/>
          <w:szCs w:val="28"/>
          <w:highlight w:val="none"/>
        </w:rPr>
        <w:tab/>
        <w:tab/>
      </w:r>
      <w:r>
        <w:rPr>
          <w:rFonts w:ascii="Times New Roman" w:hAnsi="Times New Roman" w:eastAsia="Times New Roman" w:cs="Times New Roman"/>
          <w:color w:val="000000"/>
          <w:sz w:val="32"/>
        </w:rPr>
        <w:t xml:space="preserve">¬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left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t xml:space="preserve">Об обеспечении полноценным питанием беременных женщин, имеющих доход ниже прожиточного минимума, кормящих мат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t xml:space="preserve">ерей и детей в возрасте до трех лет, семьи которых имеют доходы ниже прожиточного минимума, установленного нормативными правовыми актами области, а так же детей, рожденных вич-инфицированными матерями, проживающих на территории Еврейской автономной области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 соответствии с Федеральным </w:t>
      </w:r>
      <w:hyperlink r:id="rId9" w:tooltip="https://login.consultant.ru/link/?req=doc&amp;base=LAW&amp;n=454998&amp;dst=100539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8"/>
            <w:szCs w:val="28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от 21.11.2011 № 323-ФЗ «Об основах охраны здоровья граждан в Российской Федерации», </w:t>
      </w:r>
      <w:hyperlink r:id="rId10" w:tooltip="https://login.consultant.ru/link/?req=doc&amp;base=RLAW426&amp;n=87733&amp;dst=100037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8"/>
            <w:szCs w:val="28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Еврейской автономной области от 18.07.2012 № 122-ОЗ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«Об отдельных вопросах охраны здоровья граждан на территории Еврейской автономной области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» правительство Еврейской автономной области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ПОСТАНОВЛЯЕТ: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1. Утвердить прилагаемый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8"/>
            <w:szCs w:val="28"/>
          </w:rPr>
          <w:t xml:space="preserve">Порядок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обеспечения полноценным питанием беременных женщин, имеющих доход ниже прожиточного минимума, кормящих мат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ерей и детей в возрасте до трех лет, семьи кото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рых имеют доходы ниже прожиточного минимума, установленного нормативными правовыми актами области, а также детей, рожденных                                                ВИЧ-инфицированными матерями, проживающих на территории Еврейской автономной области.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2. Утвердить прилагаемый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8"/>
            <w:szCs w:val="28"/>
          </w:rPr>
          <w:t xml:space="preserve">перечень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продуктов питания и денежные нормы расходов на их приобретение для обеспечения полноценным питанием беременных женщин, имеющих доход ниже прожиточного минимума, кормящих матерей и детей в возрасте до трех лет, семьи ко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торых имеют доходы ниже прожиточного минимума,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установленного нормативными правовыми актами области, а также детей, рожденных                                               ВИЧ-инфицированными матерями, проживающих на территории Еврейской автономной области (далее - получатели дополнительного питания).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3. Поручить департаменту здравоохранения правительства Еврейской автономной области: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3.1. Довести до сведения врачей (участк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овых педиатров, акушеров-гинекологов) областных государственных учреждений здравоохранения рекомендуемые наборы продуктов для питания беременных женщин, кормящих матерей и детей в возрасте до трех лет, а также детей, рожденных ВИЧ-инфицированными матерями.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3.2. Установить перечень областных государственных учреждений здравоохранения, по рецептам врачей которых осуществляется отпуск продуктов для обеспечения полноценным питанием получателей дополнительного питания.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3.3. Организовывать размещение заказа на поставку продуктов для обеспечения полноценным питанием получателей дополнительного питания в соответствии с установленным законодательством порядком.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bookmarkStart w:id="0" w:name="undefined"/>
      <w:r>
        <w:rPr>
          <w:rFonts w:ascii="Times New Roman" w:hAnsi="Times New Roman" w:eastAsia="Times New Roman" w:cs="Times New Roman"/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3.4. Организовывать размещение заказа на оказание услуг по хранению и отпуску продуктов для обеспечения полноценным питанием получателей дополнительного питания в соответствии с установленным законодательством порядком.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4. Рекомендовать областным государственным учреждениям здравоохранения, осуществляющим диспансерное наблюдение беременных женщин, кормящих матерей и детей в возрасте до трех лет, а также детей, рожденных ВИЧ-инфицированными матерями: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4.1. Ежегодно подавать в департамент здравоохранения правительства Еврейской автономной области заявки на продукты питания для получателей дополнительного питания в соответствии с утвержденным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8"/>
            <w:szCs w:val="28"/>
          </w:rPr>
          <w:t xml:space="preserve">перечнем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продуктов питания и денежными нормами расходов на их приобретение.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4.2. Ежемесячно в срок до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05 числа месяца, следующего за отчетным, по утвержденной форме 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нформировать департамент здравоохранения правительства Еврейской автономной области об обеспечении продуктами для полноценного питания получателей дополнительного питания.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5.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Рекомендовать аптечным организациям обеспечить необходимый ассортимент продуктов специализированного дополнительного питания в соответствии с рекомендуемыми наборами продуктов для питания беременных женщин, кормящих матерей и детей в возрасте до трех лет.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6.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 Контро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ль за обеспечением необходимого ассортимента продуктов специализированного дополнительного питания в соответствии с рекомендуемыми наборами продуктов в аптечных организациях возложить на  государственная предприятие Еврейской автономной области «Фармация».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7. Финансирование расходов на приобретение продуктов для полноценного питания получателей дополнительного питания осуществлять в пределах средств, предусмотренных в областном бюджете на указанные цели.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t xml:space="preserve">8. За 3 месяца до истечения срока годности продуктов для дополнительного питания беременных женщин, кормящих матерей и детей в возрасте до 3-х лет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t xml:space="preserve"> и отсутствия возможности их реализации осуществить передачу продуктов питания в учреждения социальной защиты населения с целью недопущения неэффективного использования денежных средств.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9. Признать утратившими силу: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- </w:t>
      </w:r>
      <w:hyperlink r:id="rId11" w:tooltip="https://login.consultant.ru/link/?req=doc&amp;base=RLAW426&amp;n=1312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8"/>
            <w:szCs w:val="28"/>
          </w:rPr>
          <w:t xml:space="preserve">постановление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правительства Еврейской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автономной области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от 27.04.2009 N 145-пп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Об обеспечении полноценным питанием беременных женщин, имеющих доход ниже прожиточного минимума, кормящих матерей и детей в возрасте до трех лет, семьи которых имеют доходы ниже прожиточного минимума, установленного нормативными правовыми актами области, 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роживающих на территории Еврейской автономной области»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- </w:t>
      </w:r>
      <w:hyperlink r:id="rId12" w:tooltip="https://login.consultant.ru/link/?req=doc&amp;base=RLAW426&amp;n=13101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8"/>
            <w:szCs w:val="28"/>
          </w:rPr>
          <w:t xml:space="preserve">постановление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правительства Еврейской автономной области                             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т 27.04.2009 N 145-пп (ред. от 09.11.2010) "Об обеспечении полноценным питанием беременных женщин, имеющих доход ниже прожиточного минимума, кормящих матерей и детей в возрасте до трех лет, семьи которых имеют доходы ниже прожиточного минимума, установленн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го нормативными правовыми актами области, проживающих на территории Еврейской автономной области» (вместе с «Порядком обеспечения полноценным питанием беременных женщин, имеющих доход ниже прожиточного минимума, кормящих матерей и детей в возрасте до трех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лет, семьи которых имеют доходы ниже прожиточного минимума, установленного нормативными правовыми актами области, проживающих на территории Еврейской автономной области»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Перечнем продуктов питания и денежными нормами расходов на их приобретение для обеспечения полноценным питанием беременных женщин, имеющих доход ниже прожиточного минимума, кормящих матерей и детей в возрасте до трех лет, семьи которых имеют доходы ниже пр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ожиточного минимума, установленного нормативными правовыми актами области, проживающих на территории Еврейской автономной области»);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hyperlink r:id="rId13" w:tooltip="https://login.consultant.ru/link/?req=doc&amp;base=RLAW426&amp;n=13101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8"/>
            <w:szCs w:val="28"/>
          </w:rPr>
          <w:t xml:space="preserve"> постановление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правительства Еврейской автономной области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остановление правительства ЕАО от 27.04.2009 N 145-пп (ред. от 31.10.2011) «Об обеспечении полноценным питанием беременных женщин, имеющих доход ниже прожиточного минимума, кормящих матерей и детей в возрасте до трех лет, семьи которых имеют доходы ниже пр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житочного минимума, установленного нормативными правовыми актами области, а также детей, рожденных ВИЧ-инфицированными матерями, проживающих на территории Еврейской автономной области» (вместе с «Порядком обеспечения полноценным питанием беременных женщин,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имеющих доход ниже прожиточного минимума, кормящих матерей и детей в возрасте до трех лет, семьи которых имеют доходы ниже прожиточного минимума, установленного нормативными правовыми актами области, проживающих на территории Еврейской автономной области»,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«Перечнем продуктов питания и денежными нормами расходов на их приобретение для обеспечения полноценным питанием беременных женщин, имеющих доход ниже прожиточного минимума, кормящих матерей и детей в возрасте до трех лет, семьи которых имеют доходы ниже 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рожиточного минимума, установленного нормативными правовыми актами области, проживающих на территории Еврейской автономной области»);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hyperlink r:id="rId14" w:tooltip="https://login.consultant.ru/link/?req=doc&amp;base=RLAW426&amp;n=13101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8"/>
            <w:szCs w:val="28"/>
          </w:rPr>
          <w:t xml:space="preserve"> постановление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правительства Еврейской автономной области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Постановление правительства ЕАО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от 27.04.2009 N 145-пп (ред. от 17.04.2012) «Об обеспечении полноценным питанием беременных женщин, имеющих доход ниже прожиточного минимума, кормящих матерей и детей в возрасте до трех лет, семьи которых имеют доходы ниже пр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житочного минимума, установленного нормативными правовыми актами области, а также детей, рожденных ВИЧ-инфицированными матерями, проживающих на территории Еврейской автономной области» (вместе с «Порядком обеспечения полноценным питанием беременных женщин,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имеющих доход ниже прожиточного минимума, кормящих матерей и детей в возрасте до трех лет, семьи которых имеют доходы ниже прожиточного минимума, установленного нормативными правовыми актами области, проживающих на территории Еврейской автономной области,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также детей, рожденных вич-инфицированными матерями, проживающих на территории Еврейской автономной области», «Перечнем продуктов питания и денежными нормами расходов на их приобретение для обеспечения полноценным питанием беременных женщин, имеющих доход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ниже прожиточного минимума, кормящих матерей и детей в возрасте до трех лет, семьи которых имеют доходы ниже прожиточного минимума, установленного нормативными правовыми актами области, проживающих на территории Еврейской автономной области, а также детей,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рожденных ВИЧ-инфицированными матерями»)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hyperlink r:id="rId15" w:tooltip="https://login.consultant.ru/link/?req=doc&amp;base=RLAW426&amp;n=1312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8"/>
            <w:szCs w:val="28"/>
          </w:rPr>
          <w:t xml:space="preserve">постановление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правительства Еврейской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автономной области 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Постановление правительства ЕАО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27.04.2009  № 145-пп (ред.                                 от 31.10.2011) «Об обеспечении полноценным питанием беременных женщин, имеющих доход ниже прожиточного минимума, кормящих матерей и детей в возрасте до трех лет, семьи которых имеют доходы ниже пр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житочного минимума, установленного нормативными правовыми актами области, а также детей, рожденных ВИЧ-инфицированными матерями, проживающих на территории Еврейской автономной области» (вместе с «Порядком обеспечения полноценным питанием беременных женщин,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имеющих доход ниже прожиточного минимума, кормящих матерей и детей в возрасте до трех лет, семьи которых имеют доходы ниже прожиточного минимума, установленного нормативными правовыми актами области, проживающих на территории Еврейской автономной области»,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«Перечнем продуктов питания и денежными нормами расходов на их приобретение для обеспечения полноценным питанием беременных женщин, имеющих доход ниже прожиточного минимума, кормящих матерей и детей в возрасте до трех лет, семьи которых имеют доходы ниже 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рожиточного минимума, установленного нормативными правовыми актами области, проживающих на территории Еврейской автономной области»)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 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firstLine="540"/>
        <w:jc w:val="both"/>
        <w:spacing w:before="160"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hyperlink r:id="rId16" w:tooltip="https://login.consultant.ru/link/?req=doc&amp;base=RLAW426&amp;n=1312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8"/>
            <w:szCs w:val="28"/>
          </w:rPr>
          <w:t xml:space="preserve">постановление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правительства Еврейской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автономной области 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Постановление правительства ЕАО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от 27.04.2009 № 145-пп (ред. от 16.10.2012) «Об обеспечении полноценным питанием беременных женщин, имеющих доход ниже прожиточного минимума, кормящих матерей и детей в возрасте до трех лет, семьи которых имеют доходы ниже пр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житочного минимума, установленного нормативными правовыми актами области, а также детей, рожденных ВИЧ-инфицированными матерями, проживающих на территории Еврейской автономной области» (вместе с «Порядком обеспечения полноценным питанием беременных женщин,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имеющих доход ниже прожиточного минимума, кормящих матерей и детей в возрасте до трех лет, семьи которых имеют доходы ниже прожиточного минимума, установленного нормативными правовыми актами области, проживающих на территории Еврейской автономной области,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также детей, рожденных вич-инфицированными матерями, проживающих на территории Еврейской автономной области», «Перечнем продуктов питания и денежными нормами расходов на их приобретение для обеспечения полноценным питанием беременных женщин, имеющих доход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ниже прожиточного минимума, кормящих матерей и детей в возрасте до трех лет, семьи которых имеют доходы ниже прожиточного минимума, установленного нормативными правовыми актами области, проживающих на территории Еврейской автономной области, а также детей,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рожденных ВИЧ-инфицированными матерями»)</w:t>
      </w:r>
      <w:r>
        <w:t xml:space="preserve">;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firstLine="540"/>
        <w:jc w:val="both"/>
        <w:spacing w:before="160" w:after="0" w:line="240" w:lineRule="auto"/>
      </w:pPr>
      <w:r>
        <w:t xml:space="preserve">- </w:t>
      </w:r>
      <w:hyperlink r:id="rId17" w:tooltip="https://login.consultant.ru/link/?req=doc&amp;base=RLAW426&amp;n=1312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8"/>
            <w:szCs w:val="28"/>
          </w:rPr>
          <w:t xml:space="preserve">постановление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правительства Еврейской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автономной области 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Постановление правительства ЕАО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27.04.2009 № 145-пп (ред. от 25.12.2012) «Об обеспечении полноценным питанием беременных женщин, имеющих доход ниже прожиточного минимума, кормящих матерей и детей в возрасте до трех лет, семьи которых имеют доходы ниже пр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житочного минимума, установленного нормативными правовыми актами области, а также детей, рожденных ВИЧ-инфицированными матерями, проживающих на территории Еврейской автономной области» (вместе с «Порядком обеспечения полноценным питанием беременных женщин,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имеющих доход ниже прожиточного минимума, кормящих матерей и детей в возрасте до трех лет, семьи которых имеют доходы ниже прожиточного минимума, установленного нормативными правовыми актами области, проживающих на территории Еврейской автономной области,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также детей, рожденных вич-инфицированными матерями, проживающих на территории Еврейской автономной области», «Перечнем продуктов питания и денежными нормами расходов на их приобретение для обеспечения полноценным питанием беременных женщин, имеющих доход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ниже прожиточного минимума, кормящих матерей и детей в возрасте до трех лет, семьи которых имеют доходы ниже прожиточного минимума, установленного нормативными правовыми актами области, проживающих на территории Еврейской автономной области, а также детей,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рожденных ВИЧ-инфицированными матерями»);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t xml:space="preserve">- </w:t>
      </w:r>
      <w:hyperlink r:id="rId18" w:tooltip="https://login.consultant.ru/link/?req=doc&amp;base=RLAW426&amp;n=1312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8"/>
            <w:szCs w:val="28"/>
          </w:rPr>
          <w:t xml:space="preserve">постановление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правительства Еврейской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автономной области 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Постановление правительства ЕАО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№ 145-пп (ред. от 12.04.2018)                                «Об обеспечении полноценным питанием беременных женщин, имеющих доход ниже прожиточного минимума, кормящих матерей и детей в возрасте до трех лет, семьи которых имеют доходы ниже пр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житочного минимума, установленного нормативными правовыми актами области, а также детей, рожденных ВИЧ-инфицированными матерями, проживающих на территории Еврейской автономной области» (вместе с «Порядком обеспечения полноценным питанием беременных женщин,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имеющих доход ниже прожиточного минимума, кормящих матерей и детей в возрасте до трех лет, семьи которых имеют доходы ниже прожиточного минимума, установленного нормативными правовыми актами области, проживающих на территории Еврейской автономной области,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также детей, рожденных вич-инфицированными матерями, проживающих на территории Еврейской автономной области», «Перечнем продуктов питания и денежными нормами расходов на их приобретение для обеспечения полноценным питанием беременных женщин, имеющих доход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ниже прожиточного минимума, кормящих матерей и детей в возрасте до трех лет, семьи которых имеют доходы ниже прожиточного минимума, установленного нормативными правовыми актами области, проживающих на территории Еврейской автономной области, а также детей,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рожденных ВИЧ-инфицированными матерями»)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10. Контроль за исполнением настоящего постановления возложить на заместителя председателя правительства области - начальника департамента здравоохранения правительства Еврейской автономной области.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11. Настоящее постановление вступает в силу через 10 дней после дня его официального опубликования.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УТВЕРЖДЕН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постановлением правительства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Еврейской автономной области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от 27.04.2009 N 145-пп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b/>
          <w:bCs w:val="0"/>
          <w:i w:val="0"/>
          <w:strike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 w:val="0"/>
          <w:i w:val="0"/>
          <w:strike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 w:val="0"/>
          <w:i w:val="0"/>
          <w:strike w:val="0"/>
          <w:sz w:val="24"/>
          <w:szCs w:val="24"/>
          <w:highlight w:val="none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bCs w:val="0"/>
          <w:i w:val="0"/>
          <w:strike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i w:val="0"/>
          <w:strike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 w:val="0"/>
          <w:i w:val="0"/>
          <w:strike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 w:val="0"/>
          <w:i w:val="0"/>
          <w:strike w:val="0"/>
          <w:sz w:val="24"/>
          <w:szCs w:val="24"/>
          <w:highlight w:val="none"/>
        </w:rPr>
      </w:r>
    </w:p>
    <w:p>
      <w:pPr>
        <w:ind w:left="0" w:firstLine="708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bCs/>
          <w:i w:val="0"/>
          <w:strike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i w:val="0"/>
          <w:strike w:val="0"/>
          <w:sz w:val="28"/>
          <w:szCs w:val="28"/>
          <w:highlight w:val="none"/>
        </w:rPr>
        <w:t xml:space="preserve">Порядок обеспечения полноценным питанием беременных женщин, имеющих доход ниже прожиточного минимума, кормящих ма</w:t>
      </w:r>
      <w:r>
        <w:rPr>
          <w:rFonts w:ascii="Times New Roman" w:hAnsi="Times New Roman" w:eastAsia="Times New Roman" w:cs="Times New Roman"/>
          <w:b/>
          <w:bCs/>
          <w:i w:val="0"/>
          <w:strike w:val="0"/>
          <w:sz w:val="28"/>
          <w:szCs w:val="28"/>
          <w:highlight w:val="none"/>
        </w:rPr>
        <w:t xml:space="preserve">терей и детей в возрасте до трех лет, семьи которых имеют доходы ниже прожиточного минимума, установленного нормативными правовыми актами области, а также детей, рожденных ВИЧ-инфицированными матерями, проживающих на территории Еврейской автономной области</w:t>
      </w:r>
      <w:r>
        <w:rPr>
          <w:rFonts w:ascii="Times New Roman" w:hAnsi="Times New Roman" w:eastAsia="Times New Roman" w:cs="Times New Roman"/>
          <w:b/>
          <w:bCs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i w:val="0"/>
          <w:strike w:val="0"/>
          <w:sz w:val="28"/>
          <w:szCs w:val="28"/>
          <w:highlight w:val="none"/>
        </w:rPr>
      </w:r>
    </w:p>
    <w:p>
      <w:pPr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bCs w:val="0"/>
          <w:i w:val="0"/>
          <w:strike w:val="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eastAsia="Times New Roman" w:cs="Times New Roman"/>
          <w:b/>
          <w:bCs w:val="0"/>
          <w:i w:val="0"/>
          <w:strike w:val="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 w:val="0"/>
          <w:i w:val="0"/>
          <w:strike w:val="0"/>
          <w:sz w:val="24"/>
          <w:szCs w:val="24"/>
          <w:highlight w:val="none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1. Врачи (участковые педиатры, акушеры-гин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кологи) областных государственных учреждений здравоохранения согласно установленному департаменту здравоохранения правительства Еврейской автономной области перечню областных государственных учреждений здравоохранения, по рецептам врачей которых осуществля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ется отпуск продуктов для полноценного питания беременных женщин, имеющих доход ниже прожиточного минимума, кормящих матерей и детей в возрасте до трех лет, семьи которых имеют доходы ниже прожиточного минимума, установленного нормативными правовыми актами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области, а также детей, рожденных ВИЧ-инфицированными матерями, проживающих на территории Еврейской автономной области (далее - получатели дополнительного питания), осуществляют выписку рецептов на продукты для полноценного питания согласно утвержденному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8"/>
            <w:szCs w:val="28"/>
          </w:rPr>
          <w:t xml:space="preserve">перечню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продуктов питания и денежным нормам расходов на их приобретение для обеспечения полноценным питанием получателей дополнительного питания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 в специализированном программном обеспечении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«еФарма2-Льгота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en-US"/>
        </w:rPr>
        <w:t xml:space="preserve"> Web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».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  <w:t xml:space="preserve">В случаях технических неисправностей в работе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«еФарма2-Льгота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en-US"/>
        </w:rPr>
        <w:t xml:space="preserve"> Web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»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lang w:val="ru-RU"/>
        </w:rPr>
        <w:t xml:space="preserve"> оформление рецептов возможно на бумажном носителе по согласованию с департаментом здравоохранения правительства Еврейской автономной области.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2. Врачи (участковые педиатры, акушеры-гинекологи) областных государственных учреждений здравоохранения доводят до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сведения получателей дополнительного питания перечень аптечных организаций, с которыми заключен государственный контракт на хранение и отпуск продуктов для обеспечения полноценным питанием получателей дополнительного питания (далее - аптечная организация).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3. Областные государственные учреждения здравоохранения, по рецептам врачей которых осуществляется отпуск продукто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 д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ля полноценного питания получателей дополнительного питания, в соответствии с приказом департамента здравоохранения правительства Еврейской автономной области ежемесячно представляют в департамент здравоохранения правительства Еврейской автономной области </w:t>
      </w:r>
      <w:hyperlink r:id="rId19" w:tooltip="https://login.consultant.ru/link/?req=doc&amp;base=RLAW426&amp;n=43610&amp;dst=100035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8"/>
            <w:szCs w:val="28"/>
          </w:rPr>
          <w:t xml:space="preserve">отчет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об обеспечении продуктами для полноценного питания получателей дополнительного питания по утвержденной департаментом здравоохранения правительства Еврейской автономной области форме.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4.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 Контро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t xml:space="preserve">ль за обеспечением необходимого ассортимента продуктов специализированного дополнительного питания в соответствии с рекомендуемыми наборами продуктов в аптечных организациях возложить на  государственная предприятие Еврейской автономной области «Фармация».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5. При поступлении продуктов для обеспечения полноценным питанием получателей дополнительного питания по рецептам, поставленным на отсроченное обслуживание,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аптечные организации в течение одного рабочего дня информируют граждан о поступлении продуктов для обеспечения их полноценным питанием и о сроках хранения продуктов в аптечной организации. В случае если гражданин в течение 5 рабочих дней со дня уведомления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о наличии поступивших продуктов для обеспечения полноценным питанием не явился за предназначенными ему продуктами для обеспечения полноценным питанием, последние снимаются с хранения и передаются для обеспечения по другим рецептам, о чем составляется акт.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540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6. Аптечные организации в обязательном порядке осуществляют ежедневный учет и обмен информацией с департамент здравоохранения правительства Еврейской автономной области об отпущенных рецептах и рецептах, принятых на отсроченное обслуживание.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</w:r>
    </w:p>
    <w:p>
      <w:pPr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УТВЕРЖДЕН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ind w:lef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постановлением правительства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Еврейской автономной области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0"/>
        <w:jc w:val="righ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от 27.04.2009 N 145-пп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ind w:left="0" w:firstLine="708"/>
        <w:jc w:val="center"/>
        <w:spacing w:before="0" w:after="0" w:line="240" w:lineRule="auto"/>
        <w:rPr>
          <w:rFonts w:ascii="Times New Roman" w:hAnsi="Times New Roman" w:cs="Times New Roman"/>
          <w:b/>
          <w:bCs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strike w:val="0"/>
          <w:sz w:val="28"/>
          <w:szCs w:val="28"/>
        </w:rPr>
        <w:t xml:space="preserve">Перечень продуктов питания и денежные нормы расходов на их приобретение для обеспечения полноценным питанием беременных женщин, имеющих доход ниже прожиточного минимума, кормящих ма</w:t>
      </w:r>
      <w:r>
        <w:rPr>
          <w:rFonts w:ascii="Times New Roman" w:hAnsi="Times New Roman" w:cs="Times New Roman"/>
          <w:b/>
          <w:bCs/>
          <w:i w:val="0"/>
          <w:strike w:val="0"/>
          <w:sz w:val="28"/>
          <w:szCs w:val="28"/>
        </w:rPr>
        <w:t xml:space="preserve">терей и детей в возрасте до трех лет, семьи которых имеют доходы ниже прожиточного минимума, установленного нормативными правовыми актами области, а также детей, рожденных ВИЧ-инфицированными матерями, проживающих на территории Еврейской автономно области.</w:t>
      </w:r>
      <w:r>
        <w:rPr>
          <w:rFonts w:ascii="Times New Roman" w:hAnsi="Times New Roman" w:cs="Times New Roman"/>
          <w:b/>
          <w:bCs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bCs/>
          <w:i w:val="0"/>
          <w:strike w:val="0"/>
          <w:sz w:val="28"/>
          <w:szCs w:val="28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1. Для беременных женщин: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881"/>
        <w:gridCol w:w="4195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Продукты питания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Норма расходов на 1 человека в год (руб.)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1. Молочный напиток обогащенный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3211,00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2. Для кормящих матерей: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881"/>
        <w:gridCol w:w="4195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Продукты питания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Норма расходов на 1 человека в год (руб.)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1. Молочный напиток обогащенный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4812,00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3. Для детей первого года жизни: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881"/>
        <w:gridCol w:w="4195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Продукты питания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Норма расходов на 1 ребенка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в год (руб.)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1. Продукты детского питания на молочной основе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5" w:type="dxa"/>
            <w:vAlign w:val="bottom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29304,00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4. Для детей второго года жизни: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881"/>
        <w:gridCol w:w="4195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Продукты питания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Норма расходов на 1 ребенка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в год (руб.)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1. Продукты детского питания на молочной основе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5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13664,00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2. Пюре мясное детское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5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54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5. Для детей третьего года жизни: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881"/>
        <w:gridCol w:w="4195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Продукты питания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5" w:type="dxa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Норма расходов на 1 ребенка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в год (руб.)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1. Продукты детского питания на молочной основе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5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13212,00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8"/>
                <w:szCs w:val="28"/>
                <w:highlight w:val="none"/>
              </w:rPr>
            </w:r>
          </w:p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1" w:type="dxa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8"/>
                <w:szCs w:val="28"/>
              </w:rPr>
              <w:t xml:space="preserve">2. Пюре мясное детское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5" w:type="dxa"/>
            <w:vMerge w:val="continue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  <w:r>
              <w:rPr>
                <w:rFonts w:ascii="Arial" w:hAnsi="Arial" w:eastAsia="Arial" w:cs="Arial"/>
                <w:b w:val="0"/>
                <w:i w:val="0"/>
                <w:strike w:val="0"/>
                <w:sz w:val="16"/>
              </w:rPr>
            </w:r>
          </w:p>
        </w:tc>
      </w:tr>
    </w:tbl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ind w:left="0" w:firstLine="0"/>
        <w:jc w:val="both"/>
        <w:spacing w:before="100" w:after="10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pBdr>
          <w:top w:val="single" w:color="000000" w:sz="4" w:space="0"/>
        </w:pBd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r/>
      <w:r/>
    </w:p>
    <w:p>
      <w:pPr>
        <w:ind w:left="0" w:right="0" w:firstLine="0"/>
        <w:jc w:val="left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805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2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Проект</w:t>
    </w: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2"/>
    <w:next w:val="842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42"/>
    <w:next w:val="842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42"/>
    <w:next w:val="842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42"/>
    <w:next w:val="842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2"/>
    <w:next w:val="842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42"/>
    <w:next w:val="842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42"/>
    <w:next w:val="842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42"/>
    <w:next w:val="842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42"/>
    <w:next w:val="842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Title"/>
    <w:basedOn w:val="842"/>
    <w:next w:val="842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link w:val="684"/>
    <w:uiPriority w:val="10"/>
    <w:rPr>
      <w:sz w:val="48"/>
      <w:szCs w:val="48"/>
    </w:rPr>
  </w:style>
  <w:style w:type="paragraph" w:styleId="686">
    <w:name w:val="Subtitle"/>
    <w:basedOn w:val="842"/>
    <w:next w:val="842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link w:val="686"/>
    <w:uiPriority w:val="11"/>
    <w:rPr>
      <w:sz w:val="24"/>
      <w:szCs w:val="24"/>
    </w:rPr>
  </w:style>
  <w:style w:type="paragraph" w:styleId="688">
    <w:name w:val="Quote"/>
    <w:basedOn w:val="842"/>
    <w:next w:val="842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42"/>
    <w:next w:val="842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paragraph" w:styleId="692">
    <w:name w:val="Header"/>
    <w:basedOn w:val="842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Header Char"/>
    <w:link w:val="692"/>
    <w:uiPriority w:val="99"/>
  </w:style>
  <w:style w:type="paragraph" w:styleId="694">
    <w:name w:val="Footer"/>
    <w:basedOn w:val="842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Footer Char"/>
    <w:link w:val="694"/>
    <w:uiPriority w:val="99"/>
  </w:style>
  <w:style w:type="paragraph" w:styleId="696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basedOn w:val="696"/>
    <w:link w:val="694"/>
    <w:uiPriority w:val="99"/>
  </w:style>
  <w:style w:type="table" w:styleId="698">
    <w:name w:val="Table Grid"/>
    <w:basedOn w:val="84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Light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8">
    <w:name w:val="List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9">
    <w:name w:val="List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0">
    <w:name w:val="List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1">
    <w:name w:val="List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2">
    <w:name w:val="List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3">
    <w:name w:val="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5">
    <w:name w:val="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6">
    <w:name w:val="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7">
    <w:name w:val="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8">
    <w:name w:val="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9">
    <w:name w:val="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0">
    <w:name w:val="Bordered &amp; 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2">
    <w:name w:val="Bordered &amp; 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3">
    <w:name w:val="Bordered &amp; 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4">
    <w:name w:val="Bordered &amp; 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5">
    <w:name w:val="Bordered &amp; 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6">
    <w:name w:val="Bordered &amp; 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7">
    <w:name w:val="Bordered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paragraph" w:styleId="825">
    <w:name w:val="footnote text"/>
    <w:basedOn w:val="842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uiPriority w:val="99"/>
    <w:unhideWhenUsed/>
    <w:rPr>
      <w:vertAlign w:val="superscript"/>
    </w:rPr>
  </w:style>
  <w:style w:type="paragraph" w:styleId="828">
    <w:name w:val="endnote text"/>
    <w:basedOn w:val="842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2"/>
    <w:next w:val="842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2"/>
    <w:next w:val="842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2"/>
    <w:next w:val="842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2"/>
    <w:next w:val="842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2"/>
    <w:next w:val="842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2"/>
    <w:next w:val="842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2"/>
    <w:next w:val="842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2"/>
    <w:next w:val="842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qFormat/>
  </w:style>
  <w:style w:type="table" w:styleId="84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4" w:default="1">
    <w:name w:val="No List"/>
    <w:uiPriority w:val="99"/>
    <w:semiHidden/>
    <w:unhideWhenUsed/>
  </w:style>
  <w:style w:type="paragraph" w:styleId="845">
    <w:name w:val="No Spacing"/>
    <w:basedOn w:val="842"/>
    <w:uiPriority w:val="1"/>
    <w:qFormat/>
    <w:pPr>
      <w:spacing w:after="0" w:line="240" w:lineRule="auto"/>
    </w:pPr>
  </w:style>
  <w:style w:type="paragraph" w:styleId="846">
    <w:name w:val="List Paragraph"/>
    <w:basedOn w:val="842"/>
    <w:uiPriority w:val="34"/>
    <w:qFormat/>
    <w:pPr>
      <w:contextualSpacing/>
      <w:ind w:left="720"/>
    </w:pPr>
  </w:style>
  <w:style w:type="character" w:styleId="84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https://login.consultant.ru/link/?req=doc&amp;base=LAW&amp;n=454998&amp;dst=100539" TargetMode="External"/><Relationship Id="rId10" Type="http://schemas.openxmlformats.org/officeDocument/2006/relationships/hyperlink" Target="https://login.consultant.ru/link/?req=doc&amp;base=RLAW426&amp;n=87733&amp;dst=100037" TargetMode="External"/><Relationship Id="rId11" Type="http://schemas.openxmlformats.org/officeDocument/2006/relationships/hyperlink" Target="https://login.consultant.ru/link/?req=doc&amp;base=RLAW426&amp;n=13124" TargetMode="External"/><Relationship Id="rId12" Type="http://schemas.openxmlformats.org/officeDocument/2006/relationships/hyperlink" Target="https://login.consultant.ru/link/?req=doc&amp;base=RLAW426&amp;n=13101" TargetMode="External"/><Relationship Id="rId13" Type="http://schemas.openxmlformats.org/officeDocument/2006/relationships/hyperlink" Target="https://login.consultant.ru/link/?req=doc&amp;base=RLAW426&amp;n=13101" TargetMode="External"/><Relationship Id="rId14" Type="http://schemas.openxmlformats.org/officeDocument/2006/relationships/hyperlink" Target="https://login.consultant.ru/link/?req=doc&amp;base=RLAW426&amp;n=13101" TargetMode="External"/><Relationship Id="rId15" Type="http://schemas.openxmlformats.org/officeDocument/2006/relationships/hyperlink" Target="https://login.consultant.ru/link/?req=doc&amp;base=RLAW426&amp;n=13124" TargetMode="External"/><Relationship Id="rId16" Type="http://schemas.openxmlformats.org/officeDocument/2006/relationships/hyperlink" Target="https://login.consultant.ru/link/?req=doc&amp;base=RLAW426&amp;n=13124" TargetMode="External"/><Relationship Id="rId17" Type="http://schemas.openxmlformats.org/officeDocument/2006/relationships/hyperlink" Target="https://login.consultant.ru/link/?req=doc&amp;base=RLAW426&amp;n=13124" TargetMode="External"/><Relationship Id="rId18" Type="http://schemas.openxmlformats.org/officeDocument/2006/relationships/hyperlink" Target="https://login.consultant.ru/link/?req=doc&amp;base=RLAW426&amp;n=13124" TargetMode="External"/><Relationship Id="rId19" Type="http://schemas.openxmlformats.org/officeDocument/2006/relationships/hyperlink" Target="https://login.consultant.ru/link/?req=doc&amp;base=RLAW426&amp;n=43610&amp;dst=10003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8</cp:revision>
  <dcterms:modified xsi:type="dcterms:W3CDTF">2024-07-25T00:41:16Z</dcterms:modified>
</cp:coreProperties>
</file>